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13" w:rsidRPr="005502B6" w:rsidRDefault="00D55C13" w:rsidP="00D55C13">
      <w:pPr>
        <w:numPr>
          <w:ilvl w:val="0"/>
          <w:numId w:val="6"/>
        </w:numPr>
        <w:tabs>
          <w:tab w:val="num" w:pos="360"/>
        </w:tabs>
        <w:spacing w:before="240"/>
        <w:ind w:left="360"/>
        <w:jc w:val="both"/>
        <w:rPr>
          <w:rFonts w:ascii="Arial" w:hAnsi="Arial" w:cs="Arial"/>
          <w:bCs/>
          <w:spacing w:val="-3"/>
          <w:sz w:val="22"/>
          <w:szCs w:val="22"/>
        </w:rPr>
      </w:pPr>
      <w:bookmarkStart w:id="0" w:name="_GoBack"/>
      <w:bookmarkEnd w:id="0"/>
      <w:r w:rsidRPr="005502B6">
        <w:rPr>
          <w:rFonts w:ascii="Arial" w:hAnsi="Arial" w:cs="Arial"/>
          <w:color w:val="000000"/>
          <w:sz w:val="22"/>
          <w:szCs w:val="22"/>
        </w:rPr>
        <w:t>The One Punch Can Kill Campaign was launched in December 2007 following recommendations from the State Government’s Youth Violence Taskforce with the Department of Premier and Cabinet providing Queensland Police Service with $500,000 for the campaign</w:t>
      </w:r>
      <w:r w:rsidR="00C54B48">
        <w:rPr>
          <w:rFonts w:ascii="Arial" w:hAnsi="Arial" w:cs="Arial"/>
          <w:color w:val="000000"/>
          <w:sz w:val="22"/>
          <w:szCs w:val="22"/>
        </w:rPr>
        <w:t>.</w:t>
      </w:r>
    </w:p>
    <w:p w:rsidR="005D6469" w:rsidRPr="005502B6" w:rsidRDefault="00441A65" w:rsidP="00D55C13">
      <w:pPr>
        <w:numPr>
          <w:ilvl w:val="0"/>
          <w:numId w:val="6"/>
        </w:numPr>
        <w:tabs>
          <w:tab w:val="num" w:pos="360"/>
        </w:tabs>
        <w:spacing w:before="240"/>
        <w:ind w:left="360"/>
        <w:jc w:val="both"/>
        <w:rPr>
          <w:rFonts w:ascii="Arial" w:hAnsi="Arial" w:cs="Arial"/>
          <w:bCs/>
          <w:spacing w:val="-3"/>
          <w:sz w:val="22"/>
          <w:szCs w:val="22"/>
        </w:rPr>
      </w:pPr>
      <w:r w:rsidRPr="005502B6">
        <w:rPr>
          <w:rFonts w:ascii="Arial" w:hAnsi="Arial" w:cs="Arial"/>
          <w:sz w:val="22"/>
          <w:szCs w:val="22"/>
        </w:rPr>
        <w:t xml:space="preserve">Following evaluation of the campaign </w:t>
      </w:r>
      <w:r w:rsidR="005D6469" w:rsidRPr="005502B6">
        <w:rPr>
          <w:rFonts w:ascii="Arial" w:hAnsi="Arial" w:cs="Arial"/>
          <w:sz w:val="22"/>
          <w:szCs w:val="22"/>
        </w:rPr>
        <w:t>in 2008, which indicated a broad recognition of the One Punch Can Kill message amongst young males aged between 12-27 years an additional phase of the campaign was approved with an additional $700,000 granted for a 2010-2011 rollout.</w:t>
      </w:r>
    </w:p>
    <w:p w:rsidR="005D6469" w:rsidRPr="005502B6" w:rsidRDefault="00E62BF3" w:rsidP="00D55C13">
      <w:pPr>
        <w:numPr>
          <w:ilvl w:val="0"/>
          <w:numId w:val="6"/>
        </w:numPr>
        <w:tabs>
          <w:tab w:val="num" w:pos="360"/>
        </w:tabs>
        <w:spacing w:before="240"/>
        <w:ind w:left="360"/>
        <w:jc w:val="both"/>
        <w:rPr>
          <w:rFonts w:ascii="Arial" w:hAnsi="Arial" w:cs="Arial"/>
          <w:bCs/>
          <w:spacing w:val="-3"/>
          <w:sz w:val="22"/>
          <w:szCs w:val="22"/>
        </w:rPr>
      </w:pPr>
      <w:r w:rsidRPr="005502B6">
        <w:rPr>
          <w:rFonts w:ascii="Arial" w:hAnsi="Arial" w:cs="Arial"/>
          <w:sz w:val="22"/>
          <w:szCs w:val="22"/>
        </w:rPr>
        <w:t>This phase of the campaign ran from April 2010 to April 2011 and included a new-look website, a state-wide advertising competition, continued production and distribution of campaign merchandise, and state-wide cinema, bus back and radio advertising.</w:t>
      </w:r>
    </w:p>
    <w:p w:rsidR="00E62BF3" w:rsidRPr="005502B6" w:rsidRDefault="00E62BF3" w:rsidP="00D55C13">
      <w:pPr>
        <w:numPr>
          <w:ilvl w:val="0"/>
          <w:numId w:val="6"/>
        </w:numPr>
        <w:tabs>
          <w:tab w:val="num" w:pos="360"/>
        </w:tabs>
        <w:spacing w:before="240"/>
        <w:ind w:left="360"/>
        <w:jc w:val="both"/>
        <w:rPr>
          <w:rFonts w:ascii="Arial" w:hAnsi="Arial" w:cs="Arial"/>
          <w:bCs/>
          <w:spacing w:val="-3"/>
          <w:sz w:val="22"/>
          <w:szCs w:val="22"/>
        </w:rPr>
      </w:pPr>
      <w:r w:rsidRPr="005502B6">
        <w:rPr>
          <w:rFonts w:ascii="Arial" w:hAnsi="Arial" w:cs="Arial"/>
          <w:sz w:val="22"/>
          <w:szCs w:val="22"/>
        </w:rPr>
        <w:t xml:space="preserve">The advertising component of the campaign </w:t>
      </w:r>
      <w:r w:rsidRPr="005502B6">
        <w:rPr>
          <w:rFonts w:ascii="Arial" w:hAnsi="Arial" w:cs="Arial"/>
          <w:bCs/>
          <w:sz w:val="22"/>
          <w:szCs w:val="22"/>
        </w:rPr>
        <w:t>ran from 21 May to 31 July 2010.  Queenslanders were given the opportunity to have their say on what they thought the next round of One Punch Can Kill advertisements should look like by submitting an original film, music file, artwork, image or idea through the website.  A total of 58 competition entries were submitted.  This ability to share thoughts, ideas or experiences on youth violence continues to be available to all Queenslanders via the website.</w:t>
      </w:r>
    </w:p>
    <w:p w:rsidR="00D55C13" w:rsidRPr="005502B6" w:rsidRDefault="00D55C13" w:rsidP="00D55C13">
      <w:pPr>
        <w:numPr>
          <w:ilvl w:val="0"/>
          <w:numId w:val="6"/>
        </w:numPr>
        <w:tabs>
          <w:tab w:val="num" w:pos="360"/>
        </w:tabs>
        <w:spacing w:before="240"/>
        <w:ind w:left="360"/>
        <w:jc w:val="both"/>
        <w:rPr>
          <w:rFonts w:ascii="Arial" w:hAnsi="Arial" w:cs="Arial"/>
          <w:bCs/>
          <w:spacing w:val="-3"/>
          <w:sz w:val="22"/>
          <w:szCs w:val="22"/>
        </w:rPr>
      </w:pPr>
      <w:r w:rsidRPr="005502B6">
        <w:rPr>
          <w:rFonts w:ascii="Arial" w:hAnsi="Arial" w:cs="Arial"/>
          <w:sz w:val="22"/>
          <w:szCs w:val="22"/>
        </w:rPr>
        <w:t>Over 12 months the Youth Violence Taskforce examined ways to reduce incidents of violent behaviour involving young people with a view to reporting back to the Queensland Government before the end of 2007.</w:t>
      </w:r>
    </w:p>
    <w:p w:rsidR="00CE6FBA" w:rsidRPr="005502B6" w:rsidRDefault="00E62BF3" w:rsidP="00E62BF3">
      <w:pPr>
        <w:numPr>
          <w:ilvl w:val="0"/>
          <w:numId w:val="6"/>
        </w:numPr>
        <w:tabs>
          <w:tab w:val="num" w:pos="360"/>
        </w:tabs>
        <w:spacing w:before="240"/>
        <w:ind w:left="360"/>
        <w:jc w:val="both"/>
        <w:rPr>
          <w:rFonts w:ascii="Arial" w:hAnsi="Arial" w:cs="Arial"/>
          <w:bCs/>
          <w:spacing w:val="-3"/>
          <w:sz w:val="22"/>
          <w:szCs w:val="22"/>
        </w:rPr>
      </w:pPr>
      <w:r w:rsidRPr="005502B6">
        <w:rPr>
          <w:rFonts w:ascii="Arial" w:hAnsi="Arial" w:cs="Arial"/>
          <w:sz w:val="22"/>
          <w:szCs w:val="22"/>
        </w:rPr>
        <w:t>Formal evaluation of this phase of the campaign has been completed, which demonstrated a high awareness of the One Punch Can Kill phrase with advertising messages that are strong and clear from the campaign. This research indicated that it is unlikely that any communications campaign will have great impact on the ‘Hard Core’ group of young males, who are most likely to offend</w:t>
      </w:r>
      <w:r w:rsidR="00A04B36">
        <w:rPr>
          <w:rFonts w:ascii="Arial" w:hAnsi="Arial" w:cs="Arial"/>
          <w:sz w:val="22"/>
          <w:szCs w:val="22"/>
        </w:rPr>
        <w:t>.</w:t>
      </w:r>
      <w:r w:rsidR="00223D69">
        <w:rPr>
          <w:rFonts w:ascii="Arial" w:hAnsi="Arial" w:cs="Arial"/>
          <w:sz w:val="22"/>
          <w:szCs w:val="22"/>
        </w:rPr>
        <w:t xml:space="preserve"> However, that the campaign may influence the reactor and influencer groups.</w:t>
      </w:r>
    </w:p>
    <w:p w:rsidR="005502B6" w:rsidRPr="005502B6" w:rsidRDefault="00CE6FBA" w:rsidP="00C07656">
      <w:pPr>
        <w:numPr>
          <w:ilvl w:val="0"/>
          <w:numId w:val="6"/>
        </w:numPr>
        <w:tabs>
          <w:tab w:val="num" w:pos="360"/>
        </w:tabs>
        <w:spacing w:before="240"/>
        <w:ind w:left="360"/>
        <w:jc w:val="both"/>
        <w:rPr>
          <w:rFonts w:ascii="Arial" w:hAnsi="Arial" w:cs="Arial"/>
          <w:bCs/>
          <w:spacing w:val="-3"/>
          <w:sz w:val="22"/>
          <w:szCs w:val="22"/>
        </w:rPr>
      </w:pPr>
      <w:r w:rsidRPr="005502B6">
        <w:rPr>
          <w:rFonts w:ascii="Arial" w:hAnsi="Arial" w:cs="Arial"/>
          <w:sz w:val="22"/>
          <w:szCs w:val="22"/>
          <w:u w:val="single"/>
        </w:rPr>
        <w:t xml:space="preserve">Cabinet </w:t>
      </w:r>
      <w:r w:rsidR="005502B6" w:rsidRPr="005502B6">
        <w:rPr>
          <w:rFonts w:ascii="Arial" w:hAnsi="Arial" w:cs="Arial"/>
          <w:sz w:val="22"/>
          <w:szCs w:val="22"/>
          <w:u w:val="single"/>
        </w:rPr>
        <w:t>noted</w:t>
      </w:r>
      <w:r w:rsidR="005502B6" w:rsidRPr="00FC603D">
        <w:rPr>
          <w:rFonts w:ascii="Arial" w:hAnsi="Arial" w:cs="Arial"/>
          <w:sz w:val="22"/>
          <w:szCs w:val="22"/>
        </w:rPr>
        <w:t xml:space="preserve"> </w:t>
      </w:r>
      <w:r w:rsidR="005502B6" w:rsidRPr="005502B6">
        <w:rPr>
          <w:rFonts w:ascii="Arial" w:hAnsi="Arial" w:cs="Arial"/>
          <w:sz w:val="22"/>
          <w:szCs w:val="22"/>
        </w:rPr>
        <w:t xml:space="preserve">the </w:t>
      </w:r>
      <w:r w:rsidR="00FC603D">
        <w:rPr>
          <w:rFonts w:ascii="Arial" w:hAnsi="Arial" w:cs="Arial"/>
          <w:sz w:val="22"/>
          <w:szCs w:val="22"/>
        </w:rPr>
        <w:t xml:space="preserve">content, including </w:t>
      </w:r>
      <w:r w:rsidR="005502B6" w:rsidRPr="005502B6">
        <w:rPr>
          <w:rFonts w:ascii="Arial" w:hAnsi="Arial" w:cs="Arial"/>
          <w:sz w:val="22"/>
          <w:szCs w:val="22"/>
        </w:rPr>
        <w:t>recommendations and findings</w:t>
      </w:r>
      <w:r w:rsidR="00FC603D">
        <w:rPr>
          <w:rFonts w:ascii="Arial" w:hAnsi="Arial" w:cs="Arial"/>
          <w:sz w:val="22"/>
          <w:szCs w:val="22"/>
        </w:rPr>
        <w:t>,</w:t>
      </w:r>
      <w:r w:rsidR="005502B6" w:rsidRPr="005502B6">
        <w:rPr>
          <w:rFonts w:ascii="Arial" w:hAnsi="Arial" w:cs="Arial"/>
          <w:sz w:val="22"/>
          <w:szCs w:val="22"/>
        </w:rPr>
        <w:t xml:space="preserve"> of the </w:t>
      </w:r>
      <w:r w:rsidR="005502B6" w:rsidRPr="005A2240">
        <w:rPr>
          <w:rFonts w:ascii="Arial" w:hAnsi="Arial" w:cs="Arial"/>
          <w:i/>
          <w:sz w:val="22"/>
          <w:szCs w:val="22"/>
        </w:rPr>
        <w:t xml:space="preserve">One Punch Can Kill Assault </w:t>
      </w:r>
      <w:r w:rsidR="005A2240" w:rsidRPr="005A2240">
        <w:rPr>
          <w:rFonts w:ascii="Arial" w:hAnsi="Arial" w:cs="Arial"/>
          <w:i/>
          <w:sz w:val="22"/>
          <w:szCs w:val="22"/>
        </w:rPr>
        <w:t>R</w:t>
      </w:r>
      <w:r w:rsidR="005502B6" w:rsidRPr="005A2240">
        <w:rPr>
          <w:rFonts w:ascii="Arial" w:hAnsi="Arial" w:cs="Arial"/>
          <w:i/>
          <w:sz w:val="22"/>
          <w:szCs w:val="22"/>
        </w:rPr>
        <w:t xml:space="preserve">eduction Campaign (Phase Three) </w:t>
      </w:r>
      <w:r w:rsidR="005A2240" w:rsidRPr="005A2240">
        <w:rPr>
          <w:rFonts w:ascii="Arial" w:hAnsi="Arial" w:cs="Arial"/>
          <w:i/>
          <w:sz w:val="22"/>
          <w:szCs w:val="22"/>
        </w:rPr>
        <w:t>R</w:t>
      </w:r>
      <w:r w:rsidR="005502B6" w:rsidRPr="005A2240">
        <w:rPr>
          <w:rFonts w:ascii="Arial" w:hAnsi="Arial" w:cs="Arial"/>
          <w:i/>
          <w:sz w:val="22"/>
          <w:szCs w:val="22"/>
        </w:rPr>
        <w:t>esearch Report – Online Survey and Qualitative Exploration</w:t>
      </w:r>
      <w:r w:rsidR="005502B6" w:rsidRPr="005502B6">
        <w:rPr>
          <w:rFonts w:ascii="Arial" w:hAnsi="Arial" w:cs="Arial"/>
          <w:sz w:val="22"/>
          <w:szCs w:val="22"/>
        </w:rPr>
        <w:t>.</w:t>
      </w:r>
    </w:p>
    <w:p w:rsidR="00753054" w:rsidRPr="00753054" w:rsidRDefault="005502B6" w:rsidP="00C07656">
      <w:pPr>
        <w:numPr>
          <w:ilvl w:val="0"/>
          <w:numId w:val="6"/>
        </w:numPr>
        <w:tabs>
          <w:tab w:val="num" w:pos="360"/>
        </w:tabs>
        <w:spacing w:before="240"/>
        <w:ind w:left="360"/>
        <w:jc w:val="both"/>
        <w:rPr>
          <w:rFonts w:ascii="Arial" w:hAnsi="Arial" w:cs="Arial"/>
          <w:bCs/>
          <w:spacing w:val="-3"/>
          <w:sz w:val="22"/>
          <w:szCs w:val="22"/>
        </w:rPr>
      </w:pPr>
      <w:r w:rsidRPr="005502B6">
        <w:rPr>
          <w:rFonts w:ascii="Arial" w:hAnsi="Arial" w:cs="Arial"/>
          <w:sz w:val="22"/>
          <w:szCs w:val="22"/>
          <w:u w:val="single"/>
        </w:rPr>
        <w:t xml:space="preserve">Cabinet </w:t>
      </w:r>
      <w:r w:rsidR="00CE6FBA" w:rsidRPr="005502B6">
        <w:rPr>
          <w:rFonts w:ascii="Arial" w:hAnsi="Arial" w:cs="Arial"/>
          <w:sz w:val="22"/>
          <w:szCs w:val="22"/>
          <w:u w:val="single"/>
        </w:rPr>
        <w:t>endorsed</w:t>
      </w:r>
      <w:r w:rsidR="00A527A5" w:rsidRPr="005502B6">
        <w:rPr>
          <w:rFonts w:ascii="Arial" w:hAnsi="Arial" w:cs="Arial"/>
          <w:sz w:val="22"/>
          <w:szCs w:val="22"/>
        </w:rPr>
        <w:t xml:space="preserve"> </w:t>
      </w:r>
      <w:r w:rsidR="00753054">
        <w:rPr>
          <w:rFonts w:ascii="Arial" w:hAnsi="Arial" w:cs="Arial"/>
          <w:sz w:val="22"/>
          <w:szCs w:val="22"/>
        </w:rPr>
        <w:t xml:space="preserve">the allocation of the remaining $160,000 to fund continued delivery of the One Punch Can Kill message through the current print campaign, including posters and merchandise. </w:t>
      </w:r>
    </w:p>
    <w:p w:rsidR="00C215DD" w:rsidRPr="00453BD1" w:rsidRDefault="00C215DD" w:rsidP="00453BD1">
      <w:pPr>
        <w:numPr>
          <w:ilvl w:val="0"/>
          <w:numId w:val="6"/>
        </w:numPr>
        <w:tabs>
          <w:tab w:val="num" w:pos="360"/>
        </w:tabs>
        <w:spacing w:before="360"/>
        <w:ind w:left="357" w:hanging="357"/>
        <w:jc w:val="both"/>
        <w:rPr>
          <w:rFonts w:ascii="Arial" w:hAnsi="Arial" w:cs="Arial"/>
          <w:bCs/>
          <w:spacing w:val="-3"/>
          <w:sz w:val="22"/>
          <w:szCs w:val="22"/>
        </w:rPr>
      </w:pPr>
      <w:r w:rsidRPr="00C215DD">
        <w:rPr>
          <w:rFonts w:ascii="Arial" w:hAnsi="Arial" w:cs="Arial"/>
          <w:i/>
          <w:sz w:val="22"/>
          <w:szCs w:val="22"/>
          <w:u w:val="single"/>
        </w:rPr>
        <w:t>Attachment</w:t>
      </w:r>
    </w:p>
    <w:p w:rsidR="000B545C" w:rsidRPr="00C07656" w:rsidRDefault="00211E0D" w:rsidP="00453BD1">
      <w:pPr>
        <w:numPr>
          <w:ilvl w:val="0"/>
          <w:numId w:val="13"/>
        </w:numPr>
        <w:tabs>
          <w:tab w:val="clear" w:pos="2700"/>
          <w:tab w:val="num" w:pos="720"/>
        </w:tabs>
        <w:spacing w:before="120"/>
        <w:ind w:left="714" w:hanging="357"/>
        <w:jc w:val="both"/>
        <w:rPr>
          <w:rFonts w:ascii="Arial" w:hAnsi="Arial" w:cs="Arial"/>
          <w:sz w:val="22"/>
          <w:szCs w:val="22"/>
        </w:rPr>
      </w:pPr>
      <w:hyperlink r:id="rId7" w:history="1">
        <w:r w:rsidR="00C215DD" w:rsidRPr="00952199">
          <w:rPr>
            <w:rStyle w:val="Hyperlink"/>
            <w:rFonts w:ascii="Arial" w:hAnsi="Arial" w:cs="Arial"/>
            <w:i/>
            <w:sz w:val="22"/>
            <w:szCs w:val="22"/>
          </w:rPr>
          <w:t>One Punch Can Kill Assault Reduction Campaign (Phase Three) Research Report – Online Survey and Qualitative Exploration</w:t>
        </w:r>
      </w:hyperlink>
    </w:p>
    <w:sectPr w:rsidR="000B545C" w:rsidRPr="00C07656" w:rsidSect="002E1401">
      <w:headerReference w:type="default" r:id="rId8"/>
      <w:footerReference w:type="default" r:id="rId9"/>
      <w:pgSz w:w="11907" w:h="16840" w:code="9"/>
      <w:pgMar w:top="1985" w:right="1418" w:bottom="85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D1B" w:rsidRDefault="00772D1B">
      <w:r>
        <w:separator/>
      </w:r>
    </w:p>
  </w:endnote>
  <w:endnote w:type="continuationSeparator" w:id="0">
    <w:p w:rsidR="00772D1B" w:rsidRDefault="0077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C3C" w:rsidRPr="001141E1" w:rsidRDefault="002C6C3C"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D1B" w:rsidRDefault="00772D1B">
      <w:r>
        <w:separator/>
      </w:r>
    </w:p>
  </w:footnote>
  <w:footnote w:type="continuationSeparator" w:id="0">
    <w:p w:rsidR="00772D1B" w:rsidRDefault="00772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C3C" w:rsidRPr="000400F9" w:rsidRDefault="003336C1"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2C6C3C" w:rsidRPr="000400F9">
      <w:rPr>
        <w:rFonts w:ascii="Arial" w:hAnsi="Arial" w:cs="Arial"/>
        <w:b/>
        <w:sz w:val="22"/>
        <w:szCs w:val="22"/>
        <w:u w:val="single"/>
      </w:rPr>
      <w:t xml:space="preserve">Cabinet – </w:t>
    </w:r>
    <w:r w:rsidR="002E1401">
      <w:rPr>
        <w:rFonts w:ascii="Arial" w:hAnsi="Arial" w:cs="Arial"/>
        <w:b/>
        <w:sz w:val="22"/>
        <w:szCs w:val="22"/>
        <w:u w:val="single"/>
      </w:rPr>
      <w:t xml:space="preserve">November </w:t>
    </w:r>
    <w:r w:rsidR="002C6C3C">
      <w:rPr>
        <w:rFonts w:ascii="Arial" w:hAnsi="Arial" w:cs="Arial"/>
        <w:b/>
        <w:sz w:val="22"/>
        <w:szCs w:val="22"/>
        <w:u w:val="single"/>
      </w:rPr>
      <w:t>2011</w:t>
    </w:r>
  </w:p>
  <w:p w:rsidR="002C6C3C" w:rsidRDefault="002C6C3C" w:rsidP="00D55C13">
    <w:pPr>
      <w:pStyle w:val="Header"/>
      <w:spacing w:before="120"/>
      <w:rPr>
        <w:rFonts w:ascii="Arial" w:hAnsi="Arial" w:cs="Arial"/>
        <w:b/>
        <w:sz w:val="22"/>
        <w:szCs w:val="22"/>
        <w:u w:val="single"/>
      </w:rPr>
    </w:pPr>
    <w:r>
      <w:rPr>
        <w:rFonts w:ascii="Arial" w:hAnsi="Arial" w:cs="Arial"/>
        <w:b/>
        <w:sz w:val="22"/>
        <w:szCs w:val="22"/>
        <w:u w:val="single"/>
      </w:rPr>
      <w:t xml:space="preserve">Outcome of market research and evaluation results of the One Punch Can Kill Campaign, run from April 2010 to April 2011, including options developed to progress the </w:t>
    </w:r>
    <w:r w:rsidRPr="0005121F">
      <w:rPr>
        <w:rFonts w:ascii="Arial" w:hAnsi="Arial" w:cs="Arial"/>
        <w:b/>
        <w:i/>
        <w:sz w:val="22"/>
        <w:szCs w:val="22"/>
        <w:u w:val="single"/>
      </w:rPr>
      <w:t>One Punch Can Kill</w:t>
    </w:r>
    <w:r>
      <w:rPr>
        <w:rFonts w:ascii="Arial" w:hAnsi="Arial" w:cs="Arial"/>
        <w:b/>
        <w:sz w:val="22"/>
        <w:szCs w:val="22"/>
        <w:u w:val="single"/>
      </w:rPr>
      <w:t xml:space="preserve"> campaign</w:t>
    </w:r>
  </w:p>
  <w:p w:rsidR="002C6C3C" w:rsidRPr="00F10DF9" w:rsidRDefault="002C6C3C" w:rsidP="00D55C13">
    <w:pPr>
      <w:pStyle w:val="Header"/>
      <w:spacing w:before="120"/>
      <w:rPr>
        <w:rFonts w:ascii="Arial" w:hAnsi="Arial" w:cs="Arial"/>
        <w:sz w:val="22"/>
        <w:szCs w:val="22"/>
      </w:rPr>
    </w:pPr>
    <w:r>
      <w:rPr>
        <w:rFonts w:ascii="Arial" w:hAnsi="Arial" w:cs="Arial"/>
        <w:b/>
        <w:sz w:val="22"/>
        <w:szCs w:val="22"/>
        <w:u w:val="single"/>
      </w:rPr>
      <w:t>Minister for Police, Corrective Services and Emergency Services</w:t>
    </w:r>
  </w:p>
  <w:p w:rsidR="002C6C3C" w:rsidRPr="00F10DF9" w:rsidRDefault="002C6C3C"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C544285"/>
    <w:multiLevelType w:val="hybridMultilevel"/>
    <w:tmpl w:val="6BE2344C"/>
    <w:lvl w:ilvl="0" w:tplc="0C090001">
      <w:start w:val="1"/>
      <w:numFmt w:val="bullet"/>
      <w:lvlText w:val=""/>
      <w:lvlJc w:val="left"/>
      <w:pPr>
        <w:tabs>
          <w:tab w:val="num" w:pos="2700"/>
        </w:tabs>
        <w:ind w:left="270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3BD5DA1"/>
    <w:multiLevelType w:val="hybridMultilevel"/>
    <w:tmpl w:val="865C1EE0"/>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F176F87"/>
    <w:multiLevelType w:val="hybridMultilevel"/>
    <w:tmpl w:val="2396ACA6"/>
    <w:lvl w:ilvl="0" w:tplc="0C09000F">
      <w:start w:val="1"/>
      <w:numFmt w:val="decimal"/>
      <w:lvlText w:val="%1."/>
      <w:lvlJc w:val="left"/>
      <w:pPr>
        <w:tabs>
          <w:tab w:val="num" w:pos="2700"/>
        </w:tabs>
        <w:ind w:left="270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0"/>
  </w:num>
  <w:num w:numId="4">
    <w:abstractNumId w:val="3"/>
  </w:num>
  <w:num w:numId="5">
    <w:abstractNumId w:val="1"/>
  </w:num>
  <w:num w:numId="6">
    <w:abstractNumId w:val="12"/>
  </w:num>
  <w:num w:numId="7">
    <w:abstractNumId w:val="11"/>
  </w:num>
  <w:num w:numId="8">
    <w:abstractNumId w:val="9"/>
  </w:num>
  <w:num w:numId="9">
    <w:abstractNumId w:val="8"/>
  </w:num>
  <w:num w:numId="10">
    <w:abstractNumId w:val="6"/>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C4"/>
    <w:rsid w:val="00021B34"/>
    <w:rsid w:val="000400F9"/>
    <w:rsid w:val="000B174F"/>
    <w:rsid w:val="000B545C"/>
    <w:rsid w:val="001141E1"/>
    <w:rsid w:val="00133013"/>
    <w:rsid w:val="00133A34"/>
    <w:rsid w:val="00160524"/>
    <w:rsid w:val="00211E0D"/>
    <w:rsid w:val="00223D69"/>
    <w:rsid w:val="00250C22"/>
    <w:rsid w:val="00254E35"/>
    <w:rsid w:val="002759C0"/>
    <w:rsid w:val="0028053C"/>
    <w:rsid w:val="002A57E0"/>
    <w:rsid w:val="002C6C3C"/>
    <w:rsid w:val="002E1401"/>
    <w:rsid w:val="002F57E4"/>
    <w:rsid w:val="003105B1"/>
    <w:rsid w:val="00314FEB"/>
    <w:rsid w:val="0032048B"/>
    <w:rsid w:val="003336C1"/>
    <w:rsid w:val="00346156"/>
    <w:rsid w:val="00363296"/>
    <w:rsid w:val="00382380"/>
    <w:rsid w:val="003A269C"/>
    <w:rsid w:val="003A2E0F"/>
    <w:rsid w:val="003C3732"/>
    <w:rsid w:val="00435BE5"/>
    <w:rsid w:val="00441A65"/>
    <w:rsid w:val="00453BD1"/>
    <w:rsid w:val="004722E7"/>
    <w:rsid w:val="0048019C"/>
    <w:rsid w:val="00486A99"/>
    <w:rsid w:val="004A2EB2"/>
    <w:rsid w:val="004E6C38"/>
    <w:rsid w:val="00527845"/>
    <w:rsid w:val="00527919"/>
    <w:rsid w:val="005502B6"/>
    <w:rsid w:val="00562AE4"/>
    <w:rsid w:val="0056401D"/>
    <w:rsid w:val="005A2240"/>
    <w:rsid w:val="005A6A1E"/>
    <w:rsid w:val="005B1D9B"/>
    <w:rsid w:val="005C224F"/>
    <w:rsid w:val="005D6469"/>
    <w:rsid w:val="006100CC"/>
    <w:rsid w:val="00644076"/>
    <w:rsid w:val="006631CF"/>
    <w:rsid w:val="00682036"/>
    <w:rsid w:val="006A1662"/>
    <w:rsid w:val="006A49C0"/>
    <w:rsid w:val="006B3B54"/>
    <w:rsid w:val="006D0869"/>
    <w:rsid w:val="006E6713"/>
    <w:rsid w:val="00702E91"/>
    <w:rsid w:val="007060D7"/>
    <w:rsid w:val="00710AAE"/>
    <w:rsid w:val="00726F36"/>
    <w:rsid w:val="0073256C"/>
    <w:rsid w:val="00753054"/>
    <w:rsid w:val="00772D1B"/>
    <w:rsid w:val="00796B3E"/>
    <w:rsid w:val="007A25F4"/>
    <w:rsid w:val="007A6599"/>
    <w:rsid w:val="007B6BE3"/>
    <w:rsid w:val="007D3B9D"/>
    <w:rsid w:val="007F52D6"/>
    <w:rsid w:val="0082040E"/>
    <w:rsid w:val="00845D3E"/>
    <w:rsid w:val="0088564B"/>
    <w:rsid w:val="008A3951"/>
    <w:rsid w:val="008A5F1B"/>
    <w:rsid w:val="008B74AC"/>
    <w:rsid w:val="008B7E17"/>
    <w:rsid w:val="008C3732"/>
    <w:rsid w:val="008F44CD"/>
    <w:rsid w:val="00922A5B"/>
    <w:rsid w:val="00952199"/>
    <w:rsid w:val="009D0C12"/>
    <w:rsid w:val="009F5476"/>
    <w:rsid w:val="00A04B36"/>
    <w:rsid w:val="00A20C0E"/>
    <w:rsid w:val="00A30F55"/>
    <w:rsid w:val="00A354FF"/>
    <w:rsid w:val="00A527A5"/>
    <w:rsid w:val="00AA128C"/>
    <w:rsid w:val="00AB6637"/>
    <w:rsid w:val="00AE1995"/>
    <w:rsid w:val="00B40BDF"/>
    <w:rsid w:val="00C07656"/>
    <w:rsid w:val="00C215DD"/>
    <w:rsid w:val="00C54B48"/>
    <w:rsid w:val="00C805EC"/>
    <w:rsid w:val="00C85B71"/>
    <w:rsid w:val="00CC24A8"/>
    <w:rsid w:val="00CE6FBA"/>
    <w:rsid w:val="00D54601"/>
    <w:rsid w:val="00D55C13"/>
    <w:rsid w:val="00DD3CD5"/>
    <w:rsid w:val="00DD497C"/>
    <w:rsid w:val="00DF4650"/>
    <w:rsid w:val="00E361B9"/>
    <w:rsid w:val="00E463C2"/>
    <w:rsid w:val="00E62BF3"/>
    <w:rsid w:val="00E72930"/>
    <w:rsid w:val="00E73D61"/>
    <w:rsid w:val="00EA00BF"/>
    <w:rsid w:val="00F10DF9"/>
    <w:rsid w:val="00F478C4"/>
    <w:rsid w:val="00F756F8"/>
    <w:rsid w:val="00FB54A6"/>
    <w:rsid w:val="00FC603D"/>
    <w:rsid w:val="00FF2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paragraph" w:styleId="NormalWeb">
    <w:name w:val="Normal (Web)"/>
    <w:basedOn w:val="Normal"/>
    <w:rsid w:val="00D55C13"/>
    <w:pPr>
      <w:spacing w:before="100" w:beforeAutospacing="1" w:after="100" w:afterAutospacing="1"/>
    </w:pPr>
  </w:style>
  <w:style w:type="paragraph" w:customStyle="1" w:styleId="Standardpara">
    <w:name w:val="Standard para"/>
    <w:basedOn w:val="Normal"/>
    <w:rsid w:val="00E62BF3"/>
    <w:pPr>
      <w:ind w:left="1500" w:right="-1120"/>
      <w:jc w:val="both"/>
    </w:pPr>
    <w:rPr>
      <w:rFonts w:ascii="Times" w:hAnsi="Times"/>
      <w:szCs w:val="20"/>
      <w:lang w:eastAsia="en-US"/>
    </w:rPr>
  </w:style>
  <w:style w:type="character" w:styleId="CommentReference">
    <w:name w:val="annotation reference"/>
    <w:basedOn w:val="DefaultParagraphFont"/>
    <w:semiHidden/>
    <w:rsid w:val="00E62BF3"/>
    <w:rPr>
      <w:sz w:val="16"/>
      <w:szCs w:val="16"/>
    </w:rPr>
  </w:style>
  <w:style w:type="paragraph" w:styleId="CommentText">
    <w:name w:val="annotation text"/>
    <w:basedOn w:val="Normal"/>
    <w:semiHidden/>
    <w:rsid w:val="00E62BF3"/>
    <w:rPr>
      <w:sz w:val="20"/>
      <w:szCs w:val="20"/>
      <w:lang w:eastAsia="en-US"/>
    </w:rPr>
  </w:style>
  <w:style w:type="character" w:styleId="Hyperlink">
    <w:name w:val="Hyperlink"/>
    <w:basedOn w:val="DefaultParagraphFont"/>
    <w:rsid w:val="00952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Attachment%201%20-%20One%20Punch%20Can%20Kill%20campaign%20researc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2089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2470</CharactersWithSpaces>
  <SharedDoc>false</SharedDoc>
  <HyperlinkBase>https://www.cabinet.qld.gov.au/documents/2011/Nov/One Punch can Kill/</HyperlinkBase>
  <HLinks>
    <vt:vector size="6" baseType="variant">
      <vt:variant>
        <vt:i4>3801133</vt:i4>
      </vt:variant>
      <vt:variant>
        <vt:i4>0</vt:i4>
      </vt:variant>
      <vt:variant>
        <vt:i4>0</vt:i4>
      </vt:variant>
      <vt:variant>
        <vt:i4>5</vt:i4>
      </vt:variant>
      <vt:variant>
        <vt:lpwstr>Attachments/Attachment 1 - One Punch Can Kill campaign research.PDF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2011-11-30T01:56:00Z</cp:lastPrinted>
  <dcterms:created xsi:type="dcterms:W3CDTF">2017-10-24T23:07:00Z</dcterms:created>
  <dcterms:modified xsi:type="dcterms:W3CDTF">2018-03-06T01:10:00Z</dcterms:modified>
  <cp:category>Violence,Alcohol</cp:category>
</cp:coreProperties>
</file>